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FE215" w14:textId="77777777" w:rsidR="00A5006E" w:rsidRDefault="00A5006E" w:rsidP="00D87A8E">
      <w:pPr>
        <w:spacing w:after="0" w:line="240" w:lineRule="auto"/>
        <w:jc w:val="center"/>
        <w:rPr>
          <w:rFonts w:eastAsia="Times New Roman" w:cstheme="minorHAnsi"/>
          <w:b/>
        </w:rPr>
      </w:pPr>
      <w:r>
        <w:rPr>
          <w:rFonts w:eastAsia="Times New Roman" w:cstheme="minorHAnsi"/>
          <w:b/>
        </w:rPr>
        <w:t>RFP 21-66211</w:t>
      </w:r>
    </w:p>
    <w:p w14:paraId="23346992" w14:textId="5216532F" w:rsidR="00D87A8E" w:rsidRDefault="00D87A8E" w:rsidP="00D87A8E">
      <w:pPr>
        <w:spacing w:after="0" w:line="240" w:lineRule="auto"/>
        <w:jc w:val="center"/>
        <w:rPr>
          <w:rFonts w:eastAsia="Times New Roman" w:cstheme="minorHAnsi"/>
          <w:b/>
        </w:rPr>
      </w:pPr>
      <w:r>
        <w:rPr>
          <w:rFonts w:eastAsia="Times New Roman" w:cstheme="minorHAnsi"/>
          <w:b/>
        </w:rPr>
        <w:t>Attachment B</w:t>
      </w:r>
      <w:r w:rsidR="00A5006E">
        <w:rPr>
          <w:rFonts w:eastAsia="Times New Roman" w:cstheme="minorHAnsi"/>
          <w:b/>
        </w:rPr>
        <w:t>3</w:t>
      </w:r>
    </w:p>
    <w:p w14:paraId="2CC2BB77" w14:textId="2EB465D5" w:rsidR="00D87A8E" w:rsidRDefault="00D87A8E" w:rsidP="00D87A8E">
      <w:pPr>
        <w:spacing w:after="0" w:line="240" w:lineRule="auto"/>
        <w:jc w:val="center"/>
        <w:rPr>
          <w:rFonts w:eastAsia="Times New Roman" w:cstheme="minorHAnsi"/>
          <w:b/>
        </w:rPr>
      </w:pPr>
      <w:r>
        <w:rPr>
          <w:rFonts w:eastAsia="Times New Roman" w:cstheme="minorHAnsi"/>
          <w:b/>
        </w:rPr>
        <w:t>Scope of Services</w:t>
      </w:r>
      <w:r w:rsidR="00A5006E">
        <w:rPr>
          <w:rFonts w:eastAsia="Times New Roman" w:cstheme="minorHAnsi"/>
          <w:b/>
        </w:rPr>
        <w:t xml:space="preserve"> -</w:t>
      </w:r>
      <w:r>
        <w:rPr>
          <w:rFonts w:eastAsia="Times New Roman" w:cstheme="minorHAnsi"/>
          <w:b/>
        </w:rPr>
        <w:t xml:space="preserve"> Data Warehouse including Data Analytics</w:t>
      </w:r>
    </w:p>
    <w:p w14:paraId="459E8B43" w14:textId="77777777" w:rsidR="00D87A8E" w:rsidRDefault="00D87A8E" w:rsidP="00D87A8E">
      <w:pPr>
        <w:spacing w:after="0" w:line="240" w:lineRule="auto"/>
        <w:jc w:val="both"/>
        <w:rPr>
          <w:rFonts w:eastAsia="Times New Roman" w:cstheme="minorHAnsi"/>
          <w:b/>
        </w:rPr>
      </w:pPr>
    </w:p>
    <w:p w14:paraId="6E516AAB" w14:textId="77777777" w:rsidR="00D87A8E" w:rsidRDefault="00D87A8E" w:rsidP="00D87A8E">
      <w:pPr>
        <w:spacing w:after="0" w:line="240" w:lineRule="auto"/>
        <w:jc w:val="both"/>
        <w:rPr>
          <w:rFonts w:eastAsia="Times New Roman" w:cstheme="minorHAnsi"/>
          <w:b/>
        </w:rPr>
      </w:pPr>
    </w:p>
    <w:p w14:paraId="44762073" w14:textId="77777777" w:rsidR="00D87A8E" w:rsidRPr="00310814" w:rsidRDefault="00D87A8E" w:rsidP="00D87A8E">
      <w:pPr>
        <w:pStyle w:val="ListParagraph"/>
        <w:numPr>
          <w:ilvl w:val="0"/>
          <w:numId w:val="3"/>
        </w:numPr>
        <w:spacing w:after="0" w:line="240" w:lineRule="auto"/>
        <w:jc w:val="both"/>
        <w:rPr>
          <w:rFonts w:eastAsia="Times New Roman" w:cstheme="minorHAnsi"/>
          <w:b/>
        </w:rPr>
      </w:pPr>
      <w:r>
        <w:rPr>
          <w:rFonts w:eastAsia="Times New Roman" w:cstheme="minorHAnsi"/>
          <w:b/>
        </w:rPr>
        <w:t>Duties of the Contractor.</w:t>
      </w:r>
    </w:p>
    <w:p w14:paraId="02C7BF36" w14:textId="77777777" w:rsidR="00D87A8E" w:rsidRDefault="00D87A8E" w:rsidP="00D87A8E">
      <w:pPr>
        <w:pStyle w:val="ListParagraph"/>
        <w:spacing w:line="240" w:lineRule="auto"/>
        <w:ind w:left="1080"/>
        <w:jc w:val="both"/>
        <w:rPr>
          <w:rFonts w:cstheme="minorHAnsi"/>
        </w:rPr>
      </w:pPr>
    </w:p>
    <w:p w14:paraId="43FF2F84" w14:textId="77777777" w:rsidR="00D87A8E" w:rsidRDefault="00D87A8E" w:rsidP="00D87A8E">
      <w:pPr>
        <w:pStyle w:val="ListParagraph"/>
        <w:numPr>
          <w:ilvl w:val="0"/>
          <w:numId w:val="4"/>
        </w:numPr>
        <w:spacing w:line="240" w:lineRule="auto"/>
        <w:ind w:left="1080"/>
        <w:jc w:val="both"/>
        <w:rPr>
          <w:rFonts w:cstheme="minorHAnsi"/>
        </w:rPr>
      </w:pPr>
      <w:r w:rsidRPr="007B3A3B">
        <w:rPr>
          <w:rFonts w:cstheme="minorHAnsi"/>
        </w:rPr>
        <w:t>Incorporation by Reference</w:t>
      </w:r>
    </w:p>
    <w:p w14:paraId="2FCEBDF0" w14:textId="77777777" w:rsidR="00D87A8E" w:rsidRPr="007B3A3B" w:rsidRDefault="00D87A8E" w:rsidP="00D87A8E">
      <w:pPr>
        <w:pStyle w:val="ListParagraph"/>
        <w:spacing w:line="240" w:lineRule="auto"/>
        <w:ind w:left="1080"/>
        <w:jc w:val="both"/>
        <w:rPr>
          <w:rFonts w:cstheme="minorHAnsi"/>
        </w:rPr>
      </w:pPr>
    </w:p>
    <w:p w14:paraId="295968A5" w14:textId="77777777" w:rsidR="00D87A8E" w:rsidRDefault="00D87A8E" w:rsidP="00D87A8E">
      <w:pPr>
        <w:pStyle w:val="ListParagraph"/>
        <w:numPr>
          <w:ilvl w:val="0"/>
          <w:numId w:val="5"/>
        </w:numPr>
        <w:spacing w:line="240" w:lineRule="auto"/>
        <w:jc w:val="both"/>
        <w:rPr>
          <w:rFonts w:cstheme="minorHAnsi"/>
        </w:rPr>
      </w:pPr>
      <w:r>
        <w:rPr>
          <w:rFonts w:cstheme="minorHAnsi"/>
        </w:rPr>
        <w:t>Exhibit A: The Business Associate Agreement</w:t>
      </w:r>
    </w:p>
    <w:p w14:paraId="66104E37" w14:textId="77777777" w:rsidR="00D87A8E" w:rsidRDefault="00D87A8E" w:rsidP="00D87A8E">
      <w:pPr>
        <w:pStyle w:val="ListParagraph"/>
        <w:numPr>
          <w:ilvl w:val="0"/>
          <w:numId w:val="5"/>
        </w:numPr>
        <w:spacing w:line="240" w:lineRule="auto"/>
        <w:jc w:val="both"/>
        <w:rPr>
          <w:rFonts w:cstheme="minorHAnsi"/>
        </w:rPr>
      </w:pPr>
      <w:r>
        <w:rPr>
          <w:rFonts w:cstheme="minorHAnsi"/>
        </w:rPr>
        <w:t>Exhibit B: The Request for Proposals, pre &amp; post-proposal inquiries ad the responses thereto</w:t>
      </w:r>
    </w:p>
    <w:p w14:paraId="1A9590BD" w14:textId="77777777" w:rsidR="00D87A8E" w:rsidRDefault="00D87A8E" w:rsidP="00D87A8E">
      <w:pPr>
        <w:pStyle w:val="ListParagraph"/>
        <w:numPr>
          <w:ilvl w:val="0"/>
          <w:numId w:val="5"/>
        </w:numPr>
        <w:spacing w:line="240" w:lineRule="auto"/>
        <w:jc w:val="both"/>
        <w:rPr>
          <w:rFonts w:cstheme="minorHAnsi"/>
        </w:rPr>
      </w:pPr>
      <w:r>
        <w:rPr>
          <w:rFonts w:cstheme="minorHAnsi"/>
        </w:rPr>
        <w:t xml:space="preserve">Reference hereafter to certain of the subjects, topics, provisions, terms, obligations, rights, duties and other matters in the documents incorporated by reference are not meant to exclude the importance of other portions of said documents; rather, said references are intended to amplify upon or clarify the import, meaning and/or effect(s) thereof same may relate to the rights, duties, and obligations of the parties to this Contract.  The reference or non-reference to certain portions of the documents incorporated by reference shall not preclude the reasonable construction of the terms of said instruments which may be required from time to time during the tenure of this Contract; provided, that when the parties desire the clarifying construction of significant areas of dispute said construction shall be consistent with the terms expressly set forth in this Contract and shall be effectuated only by the written mutual agreement of the parties hereto, or as otherwise provided in this Contract.   </w:t>
      </w:r>
    </w:p>
    <w:p w14:paraId="76DE66B1" w14:textId="7ECDD7FB" w:rsidR="00D87A8E" w:rsidRDefault="00D87A8E" w:rsidP="00D87A8E">
      <w:pPr>
        <w:pStyle w:val="ListParagraph"/>
        <w:numPr>
          <w:ilvl w:val="0"/>
          <w:numId w:val="5"/>
        </w:numPr>
        <w:spacing w:line="240" w:lineRule="auto"/>
        <w:jc w:val="both"/>
      </w:pPr>
      <w:r w:rsidRPr="0168D773">
        <w:t xml:space="preserve">The parties acknowledge that the Plans, as contained in Exhibit A, may be subject to approval of the Indiana Department of Insurance pursuant to and in the manner prescribed by law and/or regulation.  The parties agree that subsequent additions or modifications to, or deletions from, said Plan shall be effectuated in accordance with the terms of this Contract; and the written acceptance or endorsement of all signatories to this Contract shall be required to make said additions, modifications, or deletions effective in accordance with Article 9.  </w:t>
      </w:r>
    </w:p>
    <w:p w14:paraId="39E3C26D" w14:textId="312BD917" w:rsidR="00AF52BE" w:rsidRDefault="00AF52BE" w:rsidP="00AF52BE">
      <w:pPr>
        <w:spacing w:line="240" w:lineRule="auto"/>
        <w:ind w:firstLine="720"/>
        <w:jc w:val="both"/>
        <w:rPr>
          <w:b/>
          <w:bCs/>
        </w:rPr>
      </w:pPr>
      <w:r w:rsidRPr="00AF52BE">
        <w:rPr>
          <w:b/>
          <w:bCs/>
        </w:rPr>
        <w:t>Confirmed.</w:t>
      </w:r>
    </w:p>
    <w:p w14:paraId="7A340D1C" w14:textId="77777777" w:rsidR="00AF52BE" w:rsidRPr="00AF52BE" w:rsidRDefault="00AF52BE" w:rsidP="00AF52BE">
      <w:pPr>
        <w:spacing w:line="240" w:lineRule="auto"/>
        <w:ind w:firstLine="720"/>
        <w:jc w:val="both"/>
        <w:rPr>
          <w:b/>
          <w:bCs/>
        </w:rPr>
      </w:pPr>
    </w:p>
    <w:p w14:paraId="4D1691CE" w14:textId="77777777" w:rsidR="00D87A8E" w:rsidRDefault="00D87A8E" w:rsidP="00D87A8E">
      <w:pPr>
        <w:spacing w:line="240" w:lineRule="auto"/>
        <w:ind w:left="1080" w:hanging="360"/>
        <w:jc w:val="both"/>
      </w:pPr>
      <w:r w:rsidRPr="0168D773">
        <w:t>B.</w:t>
      </w:r>
      <w:r>
        <w:tab/>
        <w:t>Contractor will:</w:t>
      </w:r>
    </w:p>
    <w:p w14:paraId="75E46F43" w14:textId="77777777" w:rsidR="00D87A8E" w:rsidRDefault="00D87A8E" w:rsidP="00D87A8E">
      <w:pPr>
        <w:pStyle w:val="ListParagraph"/>
        <w:tabs>
          <w:tab w:val="left" w:pos="1440"/>
        </w:tabs>
        <w:spacing w:line="240" w:lineRule="auto"/>
        <w:ind w:left="1440" w:hanging="360"/>
        <w:jc w:val="both"/>
        <w:rPr>
          <w:rFonts w:eastAsiaTheme="minorEastAsia"/>
        </w:rPr>
      </w:pPr>
      <w:r w:rsidRPr="4F203577">
        <w:rPr>
          <w:rFonts w:ascii="Calibri" w:eastAsia="Calibri" w:hAnsi="Calibri" w:cs="Calibri"/>
          <w:u w:val="single"/>
        </w:rPr>
        <w:t>Data Security</w:t>
      </w:r>
    </w:p>
    <w:p w14:paraId="578D5EF7" w14:textId="77777777" w:rsidR="00D87A8E" w:rsidRPr="0014159A" w:rsidRDefault="00D87A8E" w:rsidP="00D87A8E">
      <w:pPr>
        <w:pStyle w:val="ListParagraph"/>
        <w:numPr>
          <w:ilvl w:val="1"/>
          <w:numId w:val="5"/>
        </w:numPr>
        <w:spacing w:line="240" w:lineRule="auto"/>
        <w:jc w:val="both"/>
        <w:rPr>
          <w:rFonts w:eastAsiaTheme="minorEastAsia"/>
        </w:rPr>
      </w:pPr>
      <w:r>
        <w:rPr>
          <w:rFonts w:eastAsiaTheme="minorEastAsia"/>
        </w:rPr>
        <w:t>Maintain HITRUST certification;</w:t>
      </w:r>
    </w:p>
    <w:p w14:paraId="65810CDC" w14:textId="77777777" w:rsidR="00D87A8E" w:rsidRDefault="00D87A8E" w:rsidP="00D87A8E">
      <w:pPr>
        <w:pStyle w:val="ListParagraph"/>
        <w:numPr>
          <w:ilvl w:val="1"/>
          <w:numId w:val="5"/>
        </w:numPr>
        <w:spacing w:line="240" w:lineRule="auto"/>
        <w:jc w:val="both"/>
        <w:rPr>
          <w:rFonts w:eastAsiaTheme="minorEastAsia"/>
        </w:rPr>
      </w:pPr>
      <w:r w:rsidRPr="4F203577">
        <w:rPr>
          <w:rFonts w:ascii="Calibri" w:eastAsia="Calibri" w:hAnsi="Calibri" w:cs="Calibri"/>
        </w:rPr>
        <w:t>Implement and manage a wide range of network security systems;</w:t>
      </w:r>
    </w:p>
    <w:p w14:paraId="22D739AD" w14:textId="77777777" w:rsidR="00D87A8E" w:rsidRDefault="00D87A8E" w:rsidP="00D87A8E">
      <w:pPr>
        <w:pStyle w:val="ListParagraph"/>
        <w:numPr>
          <w:ilvl w:val="1"/>
          <w:numId w:val="5"/>
        </w:numPr>
        <w:spacing w:line="240" w:lineRule="auto"/>
        <w:jc w:val="both"/>
        <w:rPr>
          <w:rFonts w:eastAsiaTheme="minorEastAsia"/>
        </w:rPr>
      </w:pPr>
      <w:r w:rsidRPr="4F203577">
        <w:rPr>
          <w:rFonts w:ascii="Calibri" w:eastAsia="Calibri" w:hAnsi="Calibri" w:cs="Calibri"/>
        </w:rPr>
        <w:t>Implement a disaster recovery plan with redundancies that protect State data;</w:t>
      </w:r>
    </w:p>
    <w:p w14:paraId="35CC6EF3" w14:textId="77777777" w:rsidR="00D87A8E" w:rsidRDefault="00D87A8E" w:rsidP="00D87A8E">
      <w:pPr>
        <w:pStyle w:val="ListParagraph"/>
        <w:numPr>
          <w:ilvl w:val="1"/>
          <w:numId w:val="5"/>
        </w:numPr>
        <w:spacing w:line="240" w:lineRule="auto"/>
        <w:jc w:val="both"/>
        <w:rPr>
          <w:rFonts w:eastAsiaTheme="minorEastAsia"/>
        </w:rPr>
      </w:pPr>
      <w:r w:rsidRPr="4F203577">
        <w:rPr>
          <w:rFonts w:ascii="Calibri" w:eastAsia="Calibri" w:hAnsi="Calibri" w:cs="Calibri"/>
        </w:rPr>
        <w:t>Safeguard all data in motion and at rest using industry standards for sensitive, HIPPA protected information;</w:t>
      </w:r>
    </w:p>
    <w:p w14:paraId="7EC93697" w14:textId="77777777" w:rsidR="00D87A8E" w:rsidRDefault="00D87A8E" w:rsidP="00D87A8E">
      <w:pPr>
        <w:pStyle w:val="ListParagraph"/>
        <w:numPr>
          <w:ilvl w:val="1"/>
          <w:numId w:val="5"/>
        </w:numPr>
        <w:spacing w:line="240" w:lineRule="auto"/>
        <w:jc w:val="both"/>
        <w:rPr>
          <w:rFonts w:eastAsiaTheme="minorEastAsia"/>
        </w:rPr>
      </w:pPr>
      <w:r w:rsidRPr="4F203577">
        <w:rPr>
          <w:rFonts w:ascii="Calibri" w:eastAsia="Calibri" w:hAnsi="Calibri" w:cs="Calibri"/>
        </w:rPr>
        <w:t>Provide SFTP access for incoming and outgoing files;</w:t>
      </w:r>
    </w:p>
    <w:p w14:paraId="084048A7" w14:textId="77777777" w:rsidR="00D87A8E" w:rsidRDefault="00D87A8E" w:rsidP="00D87A8E">
      <w:pPr>
        <w:pStyle w:val="ListParagraph"/>
        <w:numPr>
          <w:ilvl w:val="1"/>
          <w:numId w:val="5"/>
        </w:numPr>
        <w:spacing w:line="240" w:lineRule="auto"/>
        <w:jc w:val="both"/>
        <w:rPr>
          <w:rFonts w:eastAsiaTheme="minorEastAsia"/>
        </w:rPr>
      </w:pPr>
      <w:r w:rsidRPr="4F203577">
        <w:rPr>
          <w:rFonts w:ascii="Calibri" w:eastAsia="Calibri" w:hAnsi="Calibri" w:cs="Calibri"/>
        </w:rPr>
        <w:t>Use secure, encrypted email for any communications with PHI or PII;</w:t>
      </w:r>
    </w:p>
    <w:p w14:paraId="252FE3A5" w14:textId="77777777" w:rsidR="00D87A8E" w:rsidRDefault="00D87A8E" w:rsidP="00D87A8E">
      <w:pPr>
        <w:pStyle w:val="ListParagraph"/>
        <w:numPr>
          <w:ilvl w:val="1"/>
          <w:numId w:val="5"/>
        </w:numPr>
        <w:spacing w:line="240" w:lineRule="auto"/>
        <w:jc w:val="both"/>
        <w:rPr>
          <w:rFonts w:eastAsiaTheme="minorEastAsia"/>
        </w:rPr>
      </w:pPr>
      <w:r w:rsidRPr="4F203577">
        <w:rPr>
          <w:rFonts w:ascii="Calibri" w:eastAsia="Calibri" w:hAnsi="Calibri" w:cs="Calibri"/>
        </w:rPr>
        <w:t>Implement security protocols to limit Contractor employee access to only those necessary for servicing the account;</w:t>
      </w:r>
    </w:p>
    <w:p w14:paraId="393CF487" w14:textId="77777777" w:rsidR="00D87A8E" w:rsidRDefault="00D87A8E" w:rsidP="00D87A8E">
      <w:pPr>
        <w:pStyle w:val="ListParagraph"/>
        <w:numPr>
          <w:ilvl w:val="1"/>
          <w:numId w:val="5"/>
        </w:numPr>
        <w:spacing w:line="240" w:lineRule="auto"/>
        <w:jc w:val="both"/>
        <w:rPr>
          <w:rFonts w:eastAsiaTheme="minorEastAsia"/>
        </w:rPr>
      </w:pPr>
      <w:r w:rsidRPr="4F203577">
        <w:rPr>
          <w:rFonts w:ascii="Calibri" w:eastAsia="Calibri" w:hAnsi="Calibri" w:cs="Calibri"/>
        </w:rPr>
        <w:lastRenderedPageBreak/>
        <w:t>Provide role-based security access for both PHI/PII viewers and roles that cannot access PHI/PII;</w:t>
      </w:r>
    </w:p>
    <w:p w14:paraId="727DB2BC" w14:textId="77777777" w:rsidR="00D87A8E" w:rsidRPr="0014159A" w:rsidRDefault="00D87A8E" w:rsidP="00D87A8E">
      <w:pPr>
        <w:pStyle w:val="ListParagraph"/>
        <w:numPr>
          <w:ilvl w:val="1"/>
          <w:numId w:val="5"/>
        </w:numPr>
        <w:spacing w:line="240" w:lineRule="auto"/>
        <w:jc w:val="both"/>
        <w:rPr>
          <w:rFonts w:eastAsiaTheme="minorEastAsia"/>
        </w:rPr>
      </w:pPr>
      <w:r w:rsidRPr="4F203577">
        <w:rPr>
          <w:rFonts w:ascii="Calibri" w:eastAsia="Calibri" w:hAnsi="Calibri" w:cs="Calibri"/>
        </w:rPr>
        <w:t>Exclude State data from any organizational book-of-business reporting or benchmarking that would make State data identifiable</w:t>
      </w:r>
      <w:r>
        <w:rPr>
          <w:rFonts w:ascii="Calibri" w:eastAsia="Calibri" w:hAnsi="Calibri" w:cs="Calibri"/>
        </w:rPr>
        <w:t>.</w:t>
      </w:r>
    </w:p>
    <w:p w14:paraId="5B3ED260" w14:textId="77777777" w:rsidR="00D87A8E" w:rsidRDefault="00D87A8E" w:rsidP="00D87A8E">
      <w:pPr>
        <w:pStyle w:val="ListParagraph"/>
        <w:spacing w:line="240" w:lineRule="auto"/>
        <w:ind w:left="1440"/>
        <w:jc w:val="both"/>
        <w:rPr>
          <w:rFonts w:eastAsiaTheme="minorEastAsia"/>
        </w:rPr>
      </w:pPr>
    </w:p>
    <w:p w14:paraId="1419A54A" w14:textId="77777777" w:rsidR="00D87A8E" w:rsidRDefault="00D87A8E" w:rsidP="00D87A8E">
      <w:pPr>
        <w:pStyle w:val="ListParagraph"/>
        <w:spacing w:line="240" w:lineRule="auto"/>
        <w:ind w:left="1080"/>
        <w:jc w:val="both"/>
        <w:rPr>
          <w:rFonts w:eastAsiaTheme="minorEastAsia"/>
        </w:rPr>
      </w:pPr>
      <w:r w:rsidRPr="4F203577">
        <w:rPr>
          <w:rFonts w:ascii="Calibri" w:eastAsia="Calibri" w:hAnsi="Calibri" w:cs="Calibri"/>
          <w:u w:val="single"/>
        </w:rPr>
        <w:t>Data Integrity and Continuity</w:t>
      </w:r>
    </w:p>
    <w:p w14:paraId="36E6B763" w14:textId="77777777" w:rsidR="00D87A8E" w:rsidRDefault="00D87A8E" w:rsidP="00D87A8E">
      <w:pPr>
        <w:pStyle w:val="ListParagraph"/>
        <w:numPr>
          <w:ilvl w:val="0"/>
          <w:numId w:val="7"/>
        </w:numPr>
        <w:spacing w:line="240" w:lineRule="auto"/>
        <w:jc w:val="both"/>
        <w:rPr>
          <w:rFonts w:eastAsiaTheme="minorEastAsia"/>
        </w:rPr>
      </w:pPr>
      <w:r w:rsidRPr="4F203577">
        <w:rPr>
          <w:rFonts w:ascii="Calibri" w:eastAsia="Calibri" w:hAnsi="Calibri" w:cs="Calibri"/>
        </w:rPr>
        <w:t>Receive and integrate historic raw data files maintained by previous data warehouse;</w:t>
      </w:r>
    </w:p>
    <w:p w14:paraId="4C1630F3" w14:textId="77777777" w:rsidR="00D87A8E" w:rsidRDefault="00D87A8E" w:rsidP="00D87A8E">
      <w:pPr>
        <w:pStyle w:val="ListParagraph"/>
        <w:numPr>
          <w:ilvl w:val="0"/>
          <w:numId w:val="7"/>
        </w:numPr>
        <w:spacing w:after="0" w:line="240" w:lineRule="auto"/>
        <w:jc w:val="both"/>
        <w:rPr>
          <w:rFonts w:eastAsiaTheme="minorEastAsia"/>
        </w:rPr>
      </w:pPr>
      <w:r w:rsidRPr="4F203577">
        <w:rPr>
          <w:rFonts w:ascii="Calibri" w:eastAsia="Calibri" w:hAnsi="Calibri" w:cs="Calibri"/>
        </w:rPr>
        <w:t>Receive and integrate historic output files such as risk scores and custom cohort lists;</w:t>
      </w:r>
    </w:p>
    <w:p w14:paraId="0A60A7E8" w14:textId="77777777" w:rsidR="00D87A8E" w:rsidRDefault="00D87A8E" w:rsidP="00D87A8E">
      <w:pPr>
        <w:pStyle w:val="ListParagraph"/>
        <w:numPr>
          <w:ilvl w:val="0"/>
          <w:numId w:val="7"/>
        </w:numPr>
        <w:spacing w:after="0" w:line="240" w:lineRule="auto"/>
        <w:jc w:val="both"/>
        <w:rPr>
          <w:rFonts w:eastAsiaTheme="minorEastAsia"/>
        </w:rPr>
      </w:pPr>
      <w:r w:rsidRPr="4F203577">
        <w:rPr>
          <w:rFonts w:ascii="Calibri" w:eastAsia="Calibri" w:hAnsi="Calibri" w:cs="Calibri"/>
        </w:rPr>
        <w:t xml:space="preserve">Preserve all raw data received and make available to the State upon request; </w:t>
      </w:r>
    </w:p>
    <w:p w14:paraId="391629A7" w14:textId="77777777" w:rsidR="00D87A8E" w:rsidRDefault="00D87A8E" w:rsidP="00D87A8E">
      <w:pPr>
        <w:pStyle w:val="ListParagraph"/>
        <w:numPr>
          <w:ilvl w:val="0"/>
          <w:numId w:val="7"/>
        </w:numPr>
        <w:spacing w:after="0" w:line="240" w:lineRule="auto"/>
        <w:jc w:val="both"/>
        <w:rPr>
          <w:rFonts w:eastAsiaTheme="minorEastAsia"/>
        </w:rPr>
      </w:pPr>
      <w:r w:rsidRPr="4F203577">
        <w:rPr>
          <w:rFonts w:ascii="Calibri" w:eastAsia="Calibri" w:hAnsi="Calibri" w:cs="Calibri"/>
        </w:rPr>
        <w:t>Allow State input in data hierarchy and organization;</w:t>
      </w:r>
    </w:p>
    <w:p w14:paraId="2248B241" w14:textId="77777777" w:rsidR="00D87A8E" w:rsidRDefault="00D87A8E" w:rsidP="00D87A8E">
      <w:pPr>
        <w:pStyle w:val="ListParagraph"/>
        <w:numPr>
          <w:ilvl w:val="0"/>
          <w:numId w:val="7"/>
        </w:numPr>
        <w:spacing w:after="0" w:line="240" w:lineRule="auto"/>
        <w:jc w:val="both"/>
        <w:rPr>
          <w:rFonts w:eastAsiaTheme="minorEastAsia"/>
        </w:rPr>
      </w:pPr>
      <w:r w:rsidRPr="4F203577">
        <w:rPr>
          <w:rFonts w:ascii="Calibri" w:eastAsia="Calibri" w:hAnsi="Calibri" w:cs="Calibri"/>
        </w:rPr>
        <w:t xml:space="preserve">Maintain appropriate internal controls to validate incoming data; </w:t>
      </w:r>
    </w:p>
    <w:p w14:paraId="59EB1F22" w14:textId="77777777" w:rsidR="00D87A8E" w:rsidRDefault="00D87A8E" w:rsidP="00D87A8E">
      <w:pPr>
        <w:pStyle w:val="ListParagraph"/>
        <w:numPr>
          <w:ilvl w:val="0"/>
          <w:numId w:val="7"/>
        </w:numPr>
        <w:spacing w:after="0" w:line="240" w:lineRule="auto"/>
        <w:jc w:val="both"/>
        <w:rPr>
          <w:rFonts w:eastAsiaTheme="minorEastAsia"/>
        </w:rPr>
      </w:pPr>
      <w:r w:rsidRPr="4F203577">
        <w:rPr>
          <w:rFonts w:ascii="Calibri" w:eastAsia="Calibri" w:hAnsi="Calibri" w:cs="Calibri"/>
        </w:rPr>
        <w:t>Use an automated process to load monthly data files from all State health plan vendors and programs in a timely manner;</w:t>
      </w:r>
    </w:p>
    <w:p w14:paraId="2C164C0C" w14:textId="77777777" w:rsidR="00D87A8E" w:rsidRDefault="00D87A8E" w:rsidP="00D87A8E">
      <w:pPr>
        <w:pStyle w:val="ListParagraph"/>
        <w:numPr>
          <w:ilvl w:val="0"/>
          <w:numId w:val="7"/>
        </w:numPr>
        <w:spacing w:after="0" w:line="240" w:lineRule="auto"/>
        <w:jc w:val="both"/>
        <w:rPr>
          <w:rFonts w:eastAsiaTheme="minorEastAsia"/>
        </w:rPr>
      </w:pPr>
      <w:r w:rsidRPr="4F203577">
        <w:rPr>
          <w:rFonts w:ascii="Calibri" w:eastAsia="Calibri" w:hAnsi="Calibri" w:cs="Calibri"/>
        </w:rPr>
        <w:t>Integrate new file feeds as requested;</w:t>
      </w:r>
    </w:p>
    <w:p w14:paraId="6E702307" w14:textId="77777777" w:rsidR="00D87A8E" w:rsidRPr="0014159A" w:rsidRDefault="00D87A8E" w:rsidP="00D87A8E">
      <w:pPr>
        <w:pStyle w:val="ListParagraph"/>
        <w:numPr>
          <w:ilvl w:val="0"/>
          <w:numId w:val="7"/>
        </w:numPr>
        <w:spacing w:after="0" w:line="240" w:lineRule="auto"/>
        <w:jc w:val="both"/>
        <w:rPr>
          <w:rFonts w:eastAsiaTheme="minorEastAsia"/>
        </w:rPr>
      </w:pPr>
      <w:r>
        <w:rPr>
          <w:rFonts w:ascii="Calibri" w:eastAsia="Calibri" w:hAnsi="Calibri" w:cs="Calibri"/>
        </w:rPr>
        <w:t xml:space="preserve"> </w:t>
      </w:r>
      <w:r w:rsidRPr="4F203577">
        <w:rPr>
          <w:rFonts w:ascii="Calibri" w:eastAsia="Calibri" w:hAnsi="Calibri" w:cs="Calibri"/>
        </w:rPr>
        <w:t>Provide appropriate data storage space to accommodate the needs of the State</w:t>
      </w:r>
      <w:r>
        <w:rPr>
          <w:rFonts w:ascii="Calibri" w:eastAsia="Calibri" w:hAnsi="Calibri" w:cs="Calibri"/>
        </w:rPr>
        <w:t>.</w:t>
      </w:r>
    </w:p>
    <w:p w14:paraId="5EFCA5FF" w14:textId="77777777" w:rsidR="00D87A8E" w:rsidRPr="0014159A" w:rsidRDefault="00D87A8E" w:rsidP="00D87A8E">
      <w:pPr>
        <w:pStyle w:val="ListParagraph"/>
        <w:spacing w:after="0" w:line="240" w:lineRule="auto"/>
        <w:ind w:left="1440"/>
        <w:jc w:val="both"/>
        <w:rPr>
          <w:rFonts w:eastAsiaTheme="minorEastAsia"/>
        </w:rPr>
      </w:pPr>
    </w:p>
    <w:p w14:paraId="1D791B8E" w14:textId="77777777" w:rsidR="00D87A8E" w:rsidRDefault="00D87A8E" w:rsidP="00D87A8E">
      <w:pPr>
        <w:pStyle w:val="ListParagraph"/>
        <w:spacing w:line="240" w:lineRule="auto"/>
        <w:ind w:left="1080"/>
        <w:jc w:val="both"/>
        <w:rPr>
          <w:rFonts w:eastAsiaTheme="minorEastAsia"/>
        </w:rPr>
      </w:pPr>
      <w:r w:rsidRPr="4F203577">
        <w:rPr>
          <w:rFonts w:ascii="Calibri" w:eastAsia="Calibri" w:hAnsi="Calibri" w:cs="Calibri"/>
          <w:u w:val="single"/>
        </w:rPr>
        <w:t>Accessibility and Functionality</w:t>
      </w:r>
    </w:p>
    <w:p w14:paraId="4A22C9FD" w14:textId="77777777" w:rsidR="00D87A8E" w:rsidRDefault="00D87A8E" w:rsidP="00D87A8E">
      <w:pPr>
        <w:pStyle w:val="ListParagraph"/>
        <w:numPr>
          <w:ilvl w:val="4"/>
          <w:numId w:val="2"/>
        </w:numPr>
        <w:spacing w:after="0" w:line="240" w:lineRule="auto"/>
        <w:ind w:left="1440"/>
        <w:jc w:val="both"/>
        <w:rPr>
          <w:rFonts w:eastAsiaTheme="minorEastAsia"/>
        </w:rPr>
      </w:pPr>
      <w:r w:rsidRPr="4F203577">
        <w:rPr>
          <w:rFonts w:ascii="Calibri" w:eastAsia="Calibri" w:hAnsi="Calibri" w:cs="Calibri"/>
        </w:rPr>
        <w:t>Provide secure access to the data warehouse via the web;</w:t>
      </w:r>
    </w:p>
    <w:p w14:paraId="33ABB99D" w14:textId="77777777" w:rsidR="00D87A8E" w:rsidRPr="00164FF4" w:rsidRDefault="00D87A8E" w:rsidP="00D87A8E">
      <w:pPr>
        <w:pStyle w:val="ListParagraph"/>
        <w:numPr>
          <w:ilvl w:val="4"/>
          <w:numId w:val="2"/>
        </w:numPr>
        <w:spacing w:after="0" w:line="240" w:lineRule="auto"/>
        <w:ind w:left="1440"/>
        <w:jc w:val="both"/>
        <w:rPr>
          <w:rFonts w:eastAsiaTheme="minorEastAsia"/>
        </w:rPr>
      </w:pPr>
      <w:r w:rsidRPr="00164FF4">
        <w:rPr>
          <w:rFonts w:ascii="Calibri" w:eastAsia="Calibri" w:hAnsi="Calibri" w:cs="Calibri"/>
        </w:rPr>
        <w:t>Provide query builder access to all fields included in raw data and data from the population health clinical tools.  Query access must include the ability to return lists of individuals and export results to Microsoft Excel or CSV File;</w:t>
      </w:r>
    </w:p>
    <w:p w14:paraId="5DFC998B" w14:textId="77777777" w:rsidR="00D87A8E" w:rsidRPr="00E313D2" w:rsidRDefault="00D87A8E" w:rsidP="00D87A8E">
      <w:pPr>
        <w:pStyle w:val="ListParagraph"/>
        <w:numPr>
          <w:ilvl w:val="4"/>
          <w:numId w:val="2"/>
        </w:numPr>
        <w:spacing w:after="0" w:line="240" w:lineRule="auto"/>
        <w:ind w:left="1440"/>
        <w:jc w:val="both"/>
        <w:rPr>
          <w:rFonts w:eastAsiaTheme="minorEastAsia"/>
        </w:rPr>
      </w:pPr>
      <w:r w:rsidRPr="00E313D2">
        <w:rPr>
          <w:rFonts w:ascii="Calibri" w:eastAsia="Calibri" w:hAnsi="Calibri" w:cs="Calibri"/>
        </w:rPr>
        <w:t>Provide functionality to create and manage cohort groups based on input criteria;</w:t>
      </w:r>
    </w:p>
    <w:p w14:paraId="3E9B5DB6" w14:textId="77777777" w:rsidR="00D87A8E" w:rsidRPr="003C3796" w:rsidRDefault="00D87A8E" w:rsidP="00D87A8E">
      <w:pPr>
        <w:pStyle w:val="ListParagraph"/>
        <w:numPr>
          <w:ilvl w:val="4"/>
          <w:numId w:val="2"/>
        </w:numPr>
        <w:spacing w:after="0" w:line="240" w:lineRule="auto"/>
        <w:ind w:left="1440"/>
        <w:jc w:val="both"/>
        <w:rPr>
          <w:rFonts w:eastAsiaTheme="minorEastAsia"/>
        </w:rPr>
      </w:pPr>
      <w:r w:rsidRPr="003C3796">
        <w:rPr>
          <w:rFonts w:ascii="Calibri" w:eastAsia="Calibri" w:hAnsi="Calibri" w:cs="Calibri"/>
        </w:rPr>
        <w:t>Make risk profiles accessible through an easy to navigate user interface;</w:t>
      </w:r>
    </w:p>
    <w:p w14:paraId="6966DE64" w14:textId="77777777" w:rsidR="00D87A8E" w:rsidRDefault="00D87A8E" w:rsidP="00D87A8E">
      <w:pPr>
        <w:pStyle w:val="ListParagraph"/>
        <w:numPr>
          <w:ilvl w:val="4"/>
          <w:numId w:val="2"/>
        </w:numPr>
        <w:spacing w:after="0" w:line="240" w:lineRule="auto"/>
        <w:ind w:left="1440"/>
        <w:jc w:val="both"/>
        <w:rPr>
          <w:rFonts w:eastAsiaTheme="minorEastAsia"/>
        </w:rPr>
      </w:pPr>
      <w:r w:rsidRPr="4F203577">
        <w:rPr>
          <w:rFonts w:ascii="Calibri" w:eastAsia="Calibri" w:hAnsi="Calibri" w:cs="Calibri"/>
        </w:rPr>
        <w:t>Display a real-time dashboard showing each State health plan vendor with a file feed and the most recent file loaded;</w:t>
      </w:r>
    </w:p>
    <w:p w14:paraId="2A6E82EA" w14:textId="77777777" w:rsidR="00D87A8E" w:rsidRDefault="00D87A8E" w:rsidP="00D87A8E">
      <w:pPr>
        <w:pStyle w:val="ListParagraph"/>
        <w:numPr>
          <w:ilvl w:val="4"/>
          <w:numId w:val="2"/>
        </w:numPr>
        <w:spacing w:after="0" w:line="240" w:lineRule="auto"/>
        <w:ind w:left="1440"/>
        <w:jc w:val="both"/>
        <w:rPr>
          <w:rFonts w:eastAsiaTheme="minorEastAsia"/>
        </w:rPr>
      </w:pPr>
      <w:r w:rsidRPr="4F203577">
        <w:rPr>
          <w:rFonts w:ascii="Calibri" w:eastAsia="Calibri" w:hAnsi="Calibri" w:cs="Calibri"/>
        </w:rPr>
        <w:t>Assign unique data warehouse specific identification numbers to each individual with data in the data warehouse;</w:t>
      </w:r>
    </w:p>
    <w:p w14:paraId="6CA103A7" w14:textId="77777777" w:rsidR="00D87A8E" w:rsidRDefault="00D87A8E" w:rsidP="00D87A8E">
      <w:pPr>
        <w:pStyle w:val="ListParagraph"/>
        <w:numPr>
          <w:ilvl w:val="4"/>
          <w:numId w:val="2"/>
        </w:numPr>
        <w:spacing w:after="0" w:line="240" w:lineRule="auto"/>
        <w:ind w:left="1440"/>
        <w:jc w:val="both"/>
        <w:rPr>
          <w:rFonts w:eastAsiaTheme="minorEastAsia"/>
        </w:rPr>
      </w:pPr>
      <w:r w:rsidRPr="4F203577">
        <w:rPr>
          <w:rFonts w:ascii="Calibri" w:eastAsia="Calibri" w:hAnsi="Calibri" w:cs="Calibri"/>
        </w:rPr>
        <w:t xml:space="preserve">Work collaboratively with all State health plan vendors to establish mutually agreeable file formats; </w:t>
      </w:r>
    </w:p>
    <w:p w14:paraId="781603CB" w14:textId="77777777" w:rsidR="00D87A8E" w:rsidRPr="006A3504" w:rsidRDefault="00D87A8E" w:rsidP="00D87A8E">
      <w:pPr>
        <w:pStyle w:val="ListParagraph"/>
        <w:numPr>
          <w:ilvl w:val="4"/>
          <w:numId w:val="2"/>
        </w:numPr>
        <w:spacing w:after="0" w:line="240" w:lineRule="auto"/>
        <w:ind w:left="1440"/>
        <w:jc w:val="both"/>
        <w:rPr>
          <w:rFonts w:eastAsiaTheme="minorEastAsia"/>
        </w:rPr>
      </w:pPr>
      <w:r w:rsidRPr="4F203577">
        <w:rPr>
          <w:rFonts w:ascii="Calibri" w:eastAsia="Calibri" w:hAnsi="Calibri" w:cs="Calibri"/>
        </w:rPr>
        <w:t>Ability to compare to Medicare pricing</w:t>
      </w:r>
      <w:r>
        <w:rPr>
          <w:rFonts w:ascii="Calibri" w:eastAsia="Calibri" w:hAnsi="Calibri" w:cs="Calibri"/>
        </w:rPr>
        <w:t>.</w:t>
      </w:r>
    </w:p>
    <w:p w14:paraId="7F9C72C3" w14:textId="77777777" w:rsidR="00D87A8E" w:rsidRDefault="00D87A8E" w:rsidP="00D87A8E">
      <w:pPr>
        <w:pStyle w:val="ListParagraph"/>
        <w:spacing w:line="240" w:lineRule="auto"/>
        <w:ind w:left="1440"/>
        <w:jc w:val="both"/>
        <w:rPr>
          <w:rFonts w:eastAsiaTheme="minorEastAsia"/>
        </w:rPr>
      </w:pPr>
    </w:p>
    <w:p w14:paraId="2FEB91F6" w14:textId="77777777" w:rsidR="00D87A8E" w:rsidRDefault="00D87A8E" w:rsidP="00D87A8E">
      <w:pPr>
        <w:pStyle w:val="ListParagraph"/>
        <w:spacing w:line="240" w:lineRule="auto"/>
        <w:ind w:left="1080"/>
        <w:jc w:val="both"/>
        <w:rPr>
          <w:rFonts w:eastAsiaTheme="minorEastAsia"/>
        </w:rPr>
      </w:pPr>
      <w:r w:rsidRPr="4F203577">
        <w:rPr>
          <w:rFonts w:ascii="Calibri" w:eastAsia="Calibri" w:hAnsi="Calibri" w:cs="Calibri"/>
          <w:u w:val="single"/>
        </w:rPr>
        <w:t>Population Health Case-Mix System</w:t>
      </w:r>
    </w:p>
    <w:p w14:paraId="7B4B4C3A" w14:textId="77777777" w:rsidR="00D87A8E" w:rsidRDefault="00D87A8E" w:rsidP="00D87A8E">
      <w:pPr>
        <w:pStyle w:val="ListParagraph"/>
        <w:numPr>
          <w:ilvl w:val="3"/>
          <w:numId w:val="5"/>
        </w:numPr>
        <w:spacing w:after="0" w:line="240" w:lineRule="auto"/>
        <w:ind w:left="1440"/>
        <w:jc w:val="both"/>
        <w:rPr>
          <w:rFonts w:eastAsiaTheme="minorEastAsia"/>
        </w:rPr>
      </w:pPr>
      <w:r w:rsidRPr="4F203577">
        <w:rPr>
          <w:rFonts w:ascii="Calibri" w:eastAsia="Calibri" w:hAnsi="Calibri" w:cs="Calibri"/>
        </w:rPr>
        <w:t>Integration of a nationally recognized case-mix risk system such as Johns Hopkins ACG that must include:</w:t>
      </w:r>
    </w:p>
    <w:p w14:paraId="12B84050" w14:textId="77777777" w:rsidR="00D87A8E" w:rsidRDefault="00D87A8E" w:rsidP="00D87A8E">
      <w:pPr>
        <w:pStyle w:val="ListParagraph"/>
        <w:numPr>
          <w:ilvl w:val="0"/>
          <w:numId w:val="8"/>
        </w:numPr>
        <w:spacing w:line="240" w:lineRule="auto"/>
        <w:jc w:val="both"/>
        <w:rPr>
          <w:rFonts w:eastAsiaTheme="minorEastAsia"/>
        </w:rPr>
      </w:pPr>
      <w:r w:rsidRPr="4F203577">
        <w:rPr>
          <w:rFonts w:ascii="Calibri" w:eastAsia="Calibri" w:hAnsi="Calibri" w:cs="Calibri"/>
        </w:rPr>
        <w:t>Predictive modeling;</w:t>
      </w:r>
    </w:p>
    <w:p w14:paraId="4187FEA0" w14:textId="77777777" w:rsidR="00D87A8E" w:rsidRDefault="00D87A8E" w:rsidP="00D87A8E">
      <w:pPr>
        <w:pStyle w:val="ListParagraph"/>
        <w:numPr>
          <w:ilvl w:val="0"/>
          <w:numId w:val="8"/>
        </w:numPr>
        <w:spacing w:line="240" w:lineRule="auto"/>
        <w:jc w:val="both"/>
        <w:rPr>
          <w:rFonts w:eastAsiaTheme="minorEastAsia"/>
        </w:rPr>
      </w:pPr>
      <w:r w:rsidRPr="4F203577">
        <w:rPr>
          <w:rFonts w:ascii="Calibri" w:eastAsia="Calibri" w:hAnsi="Calibri" w:cs="Calibri"/>
        </w:rPr>
        <w:t xml:space="preserve">Concurrent and prospective risk scores; </w:t>
      </w:r>
    </w:p>
    <w:p w14:paraId="1940177E" w14:textId="77777777" w:rsidR="00D87A8E" w:rsidRDefault="00D87A8E" w:rsidP="00D87A8E">
      <w:pPr>
        <w:pStyle w:val="ListParagraph"/>
        <w:numPr>
          <w:ilvl w:val="0"/>
          <w:numId w:val="8"/>
        </w:numPr>
        <w:spacing w:line="240" w:lineRule="auto"/>
        <w:jc w:val="both"/>
        <w:rPr>
          <w:rFonts w:eastAsiaTheme="minorEastAsia"/>
        </w:rPr>
      </w:pPr>
      <w:r w:rsidRPr="4F203577">
        <w:rPr>
          <w:rFonts w:ascii="Calibri" w:eastAsia="Calibri" w:hAnsi="Calibri" w:cs="Calibri"/>
        </w:rPr>
        <w:t>Risk stratification;</w:t>
      </w:r>
    </w:p>
    <w:p w14:paraId="4AD20EAB" w14:textId="77777777" w:rsidR="00D87A8E" w:rsidRDefault="00D87A8E" w:rsidP="00D87A8E">
      <w:pPr>
        <w:pStyle w:val="ListParagraph"/>
        <w:numPr>
          <w:ilvl w:val="0"/>
          <w:numId w:val="8"/>
        </w:numPr>
        <w:spacing w:line="240" w:lineRule="auto"/>
        <w:jc w:val="both"/>
        <w:rPr>
          <w:rFonts w:eastAsiaTheme="minorEastAsia"/>
        </w:rPr>
      </w:pPr>
      <w:r w:rsidRPr="4F203577">
        <w:rPr>
          <w:rFonts w:ascii="Calibri" w:eastAsia="Calibri" w:hAnsi="Calibri" w:cs="Calibri"/>
        </w:rPr>
        <w:t>Diagnosis groupings;</w:t>
      </w:r>
    </w:p>
    <w:p w14:paraId="7789A46A" w14:textId="77777777" w:rsidR="00D87A8E" w:rsidRDefault="00D87A8E" w:rsidP="00D87A8E">
      <w:pPr>
        <w:pStyle w:val="ListParagraph"/>
        <w:numPr>
          <w:ilvl w:val="0"/>
          <w:numId w:val="8"/>
        </w:numPr>
        <w:spacing w:line="240" w:lineRule="auto"/>
        <w:jc w:val="both"/>
        <w:rPr>
          <w:rFonts w:eastAsiaTheme="minorEastAsia"/>
        </w:rPr>
      </w:pPr>
      <w:r w:rsidRPr="4F203577">
        <w:rPr>
          <w:rFonts w:ascii="Calibri" w:eastAsia="Calibri" w:hAnsi="Calibri" w:cs="Calibri"/>
        </w:rPr>
        <w:t xml:space="preserve">Comprehensive population health risk flags; </w:t>
      </w:r>
    </w:p>
    <w:p w14:paraId="76755EBB" w14:textId="1F09BF2D" w:rsidR="00D87A8E" w:rsidRDefault="00D87A8E" w:rsidP="00D87A8E">
      <w:pPr>
        <w:pStyle w:val="ListParagraph"/>
        <w:numPr>
          <w:ilvl w:val="0"/>
          <w:numId w:val="8"/>
        </w:numPr>
        <w:spacing w:line="240" w:lineRule="auto"/>
        <w:jc w:val="both"/>
        <w:rPr>
          <w:rFonts w:eastAsiaTheme="minorEastAsia"/>
        </w:rPr>
      </w:pPr>
      <w:r w:rsidRPr="4F203577">
        <w:rPr>
          <w:rFonts w:ascii="Calibri" w:eastAsia="Calibri" w:hAnsi="Calibri" w:cs="Calibri"/>
        </w:rPr>
        <w:t xml:space="preserve">Identification of diagnosis via claims, </w:t>
      </w:r>
      <w:r w:rsidR="00F721F8" w:rsidRPr="4F203577">
        <w:rPr>
          <w:rFonts w:ascii="Calibri" w:eastAsia="Calibri" w:hAnsi="Calibri" w:cs="Calibri"/>
        </w:rPr>
        <w:t>labs,</w:t>
      </w:r>
      <w:r w:rsidRPr="4F203577">
        <w:rPr>
          <w:rFonts w:ascii="Calibri" w:eastAsia="Calibri" w:hAnsi="Calibri" w:cs="Calibri"/>
        </w:rPr>
        <w:t xml:space="preserve"> and biometric values; </w:t>
      </w:r>
    </w:p>
    <w:p w14:paraId="0FC01F40" w14:textId="77777777" w:rsidR="00D87A8E" w:rsidRDefault="00D87A8E" w:rsidP="00D87A8E">
      <w:pPr>
        <w:pStyle w:val="ListParagraph"/>
        <w:numPr>
          <w:ilvl w:val="0"/>
          <w:numId w:val="9"/>
        </w:numPr>
        <w:spacing w:after="0" w:line="240" w:lineRule="auto"/>
        <w:jc w:val="both"/>
        <w:rPr>
          <w:rFonts w:eastAsiaTheme="minorEastAsia"/>
        </w:rPr>
      </w:pPr>
      <w:r w:rsidRPr="4F203577">
        <w:rPr>
          <w:rFonts w:ascii="Calibri" w:eastAsia="Calibri" w:hAnsi="Calibri" w:cs="Calibri"/>
        </w:rPr>
        <w:t xml:space="preserve">Create monthly lead lists for case management based on predictive modeling; </w:t>
      </w:r>
    </w:p>
    <w:p w14:paraId="587BA2B4" w14:textId="77777777" w:rsidR="00D87A8E" w:rsidRDefault="00D87A8E" w:rsidP="00D87A8E">
      <w:pPr>
        <w:pStyle w:val="ListParagraph"/>
        <w:numPr>
          <w:ilvl w:val="0"/>
          <w:numId w:val="9"/>
        </w:numPr>
        <w:spacing w:after="0" w:line="240" w:lineRule="auto"/>
        <w:jc w:val="both"/>
        <w:rPr>
          <w:rFonts w:eastAsiaTheme="minorEastAsia"/>
        </w:rPr>
      </w:pPr>
      <w:r w:rsidRPr="4F203577">
        <w:rPr>
          <w:rFonts w:ascii="Calibri" w:eastAsia="Calibri" w:hAnsi="Calibri" w:cs="Calibri"/>
        </w:rPr>
        <w:t>Enable the use of flags populating as 0 or 1 for identified diseases and utilization patterns;</w:t>
      </w:r>
    </w:p>
    <w:p w14:paraId="1A1DC609" w14:textId="77777777" w:rsidR="00D87A8E" w:rsidRDefault="00D87A8E" w:rsidP="00D87A8E">
      <w:pPr>
        <w:pStyle w:val="ListParagraph"/>
        <w:numPr>
          <w:ilvl w:val="0"/>
          <w:numId w:val="9"/>
        </w:numPr>
        <w:spacing w:after="0" w:line="240" w:lineRule="auto"/>
        <w:jc w:val="both"/>
        <w:rPr>
          <w:rFonts w:eastAsiaTheme="minorEastAsia"/>
        </w:rPr>
      </w:pPr>
      <w:r w:rsidRPr="4F203577">
        <w:rPr>
          <w:rFonts w:ascii="Calibri" w:eastAsia="Calibri" w:hAnsi="Calibri" w:cs="Calibri"/>
        </w:rPr>
        <w:t>Provide comparative benchmarks;</w:t>
      </w:r>
    </w:p>
    <w:p w14:paraId="0342F74D" w14:textId="77777777" w:rsidR="00D87A8E" w:rsidRPr="006A3504" w:rsidRDefault="00D87A8E" w:rsidP="00D87A8E">
      <w:pPr>
        <w:pStyle w:val="ListParagraph"/>
        <w:numPr>
          <w:ilvl w:val="0"/>
          <w:numId w:val="9"/>
        </w:numPr>
        <w:spacing w:after="0" w:line="240" w:lineRule="auto"/>
        <w:jc w:val="both"/>
        <w:rPr>
          <w:rFonts w:eastAsiaTheme="minorEastAsia"/>
        </w:rPr>
      </w:pPr>
      <w:r w:rsidRPr="4F203577">
        <w:rPr>
          <w:rFonts w:ascii="Calibri" w:eastAsia="Calibri" w:hAnsi="Calibri" w:cs="Calibri"/>
        </w:rPr>
        <w:t>Ability to incorporate social determinants of health data into reporting</w:t>
      </w:r>
      <w:r>
        <w:rPr>
          <w:rFonts w:ascii="Calibri" w:eastAsia="Calibri" w:hAnsi="Calibri" w:cs="Calibri"/>
        </w:rPr>
        <w:t>.</w:t>
      </w:r>
    </w:p>
    <w:p w14:paraId="3B160902" w14:textId="77777777" w:rsidR="00D87A8E" w:rsidRDefault="00D87A8E" w:rsidP="00D87A8E">
      <w:pPr>
        <w:pStyle w:val="ListParagraph"/>
        <w:spacing w:line="240" w:lineRule="auto"/>
        <w:ind w:left="1440"/>
        <w:jc w:val="both"/>
        <w:rPr>
          <w:rFonts w:eastAsiaTheme="minorEastAsia"/>
        </w:rPr>
      </w:pPr>
    </w:p>
    <w:p w14:paraId="576468DF" w14:textId="77777777" w:rsidR="00D87A8E" w:rsidRDefault="00D87A8E" w:rsidP="00D87A8E">
      <w:pPr>
        <w:pStyle w:val="ListParagraph"/>
        <w:spacing w:line="240" w:lineRule="auto"/>
        <w:ind w:left="1080"/>
        <w:jc w:val="both"/>
        <w:rPr>
          <w:rFonts w:eastAsiaTheme="minorEastAsia"/>
        </w:rPr>
      </w:pPr>
      <w:r w:rsidRPr="4F203577">
        <w:rPr>
          <w:rFonts w:ascii="Calibri" w:eastAsia="Calibri" w:hAnsi="Calibri" w:cs="Calibri"/>
          <w:u w:val="single"/>
        </w:rPr>
        <w:t>Reporting and Analytics</w:t>
      </w:r>
    </w:p>
    <w:p w14:paraId="42180702" w14:textId="77777777" w:rsidR="00D87A8E" w:rsidRPr="001E6754" w:rsidRDefault="00D87A8E" w:rsidP="00D87A8E">
      <w:pPr>
        <w:pStyle w:val="ListParagraph"/>
        <w:numPr>
          <w:ilvl w:val="3"/>
          <w:numId w:val="1"/>
        </w:numPr>
        <w:spacing w:after="0" w:line="240" w:lineRule="auto"/>
        <w:ind w:left="1440"/>
        <w:jc w:val="both"/>
        <w:rPr>
          <w:rFonts w:eastAsiaTheme="minorEastAsia"/>
        </w:rPr>
      </w:pPr>
      <w:r w:rsidRPr="001E6754">
        <w:rPr>
          <w:rFonts w:ascii="Calibri" w:eastAsia="Calibri" w:hAnsi="Calibri" w:cs="Calibri"/>
        </w:rPr>
        <w:t xml:space="preserve">Ensure that developed reports are clinically and statistically valid; </w:t>
      </w:r>
    </w:p>
    <w:p w14:paraId="2ED1A2F5" w14:textId="77777777" w:rsidR="00D87A8E" w:rsidRPr="001E6754" w:rsidRDefault="00D87A8E" w:rsidP="00D87A8E">
      <w:pPr>
        <w:pStyle w:val="ListParagraph"/>
        <w:numPr>
          <w:ilvl w:val="3"/>
          <w:numId w:val="1"/>
        </w:numPr>
        <w:spacing w:after="0" w:line="240" w:lineRule="auto"/>
        <w:ind w:left="1440"/>
        <w:jc w:val="both"/>
        <w:rPr>
          <w:rFonts w:eastAsiaTheme="minorEastAsia"/>
        </w:rPr>
      </w:pPr>
      <w:r w:rsidRPr="001E6754">
        <w:rPr>
          <w:rFonts w:ascii="Calibri" w:eastAsia="Calibri" w:hAnsi="Calibri" w:cs="Calibri"/>
        </w:rPr>
        <w:t>Provide a monthly package of standard reports;</w:t>
      </w:r>
    </w:p>
    <w:p w14:paraId="3B655291" w14:textId="77777777" w:rsidR="00D87A8E" w:rsidRDefault="00D87A8E" w:rsidP="00D87A8E">
      <w:pPr>
        <w:pStyle w:val="ListParagraph"/>
        <w:numPr>
          <w:ilvl w:val="3"/>
          <w:numId w:val="1"/>
        </w:numPr>
        <w:spacing w:after="0" w:line="240" w:lineRule="auto"/>
        <w:ind w:left="1440"/>
        <w:jc w:val="both"/>
        <w:rPr>
          <w:rFonts w:eastAsiaTheme="minorEastAsia"/>
        </w:rPr>
      </w:pPr>
      <w:r w:rsidRPr="4F203577">
        <w:rPr>
          <w:rFonts w:ascii="Calibri" w:eastAsia="Calibri" w:hAnsi="Calibri" w:cs="Calibri"/>
        </w:rPr>
        <w:lastRenderedPageBreak/>
        <w:t>Create custom reports at the request of the State;</w:t>
      </w:r>
    </w:p>
    <w:p w14:paraId="391D5C0B" w14:textId="77777777" w:rsidR="00D87A8E" w:rsidRDefault="00D87A8E" w:rsidP="00D87A8E">
      <w:pPr>
        <w:pStyle w:val="ListParagraph"/>
        <w:numPr>
          <w:ilvl w:val="3"/>
          <w:numId w:val="1"/>
        </w:numPr>
        <w:spacing w:after="0" w:line="240" w:lineRule="auto"/>
        <w:ind w:left="1440"/>
        <w:jc w:val="both"/>
        <w:rPr>
          <w:rFonts w:eastAsiaTheme="minorEastAsia"/>
        </w:rPr>
      </w:pPr>
      <w:r w:rsidRPr="4F203577">
        <w:rPr>
          <w:rFonts w:ascii="Calibri" w:eastAsia="Calibri" w:hAnsi="Calibri" w:cs="Calibri"/>
        </w:rPr>
        <w:t>Provide access to interactive dashboards that allow the user to click to reveal more details about the selected item;</w:t>
      </w:r>
    </w:p>
    <w:p w14:paraId="3660E3E5" w14:textId="77777777" w:rsidR="00D87A8E" w:rsidRDefault="00D87A8E" w:rsidP="00D87A8E">
      <w:pPr>
        <w:pStyle w:val="ListParagraph"/>
        <w:numPr>
          <w:ilvl w:val="3"/>
          <w:numId w:val="1"/>
        </w:numPr>
        <w:spacing w:after="0" w:line="240" w:lineRule="auto"/>
        <w:ind w:left="1440"/>
        <w:jc w:val="both"/>
        <w:rPr>
          <w:rFonts w:eastAsiaTheme="minorEastAsia"/>
        </w:rPr>
      </w:pPr>
      <w:r w:rsidRPr="4F203577">
        <w:rPr>
          <w:rFonts w:ascii="Calibri" w:eastAsia="Calibri" w:hAnsi="Calibri" w:cs="Calibri"/>
        </w:rPr>
        <w:t>Develop info-graphic style reports as requested</w:t>
      </w:r>
      <w:r>
        <w:rPr>
          <w:rFonts w:ascii="Calibri" w:eastAsia="Calibri" w:hAnsi="Calibri" w:cs="Calibri"/>
        </w:rPr>
        <w:t>.</w:t>
      </w:r>
    </w:p>
    <w:p w14:paraId="3E13901F" w14:textId="77777777" w:rsidR="00D87A8E" w:rsidRDefault="00D87A8E" w:rsidP="00D87A8E">
      <w:pPr>
        <w:pStyle w:val="ListParagraph"/>
        <w:spacing w:line="240" w:lineRule="auto"/>
        <w:ind w:left="1440"/>
        <w:jc w:val="both"/>
        <w:rPr>
          <w:rFonts w:eastAsiaTheme="minorEastAsia"/>
        </w:rPr>
      </w:pPr>
    </w:p>
    <w:p w14:paraId="0F8CDD7E" w14:textId="77777777" w:rsidR="00D87A8E" w:rsidRDefault="00D87A8E" w:rsidP="00D87A8E">
      <w:pPr>
        <w:pStyle w:val="ListParagraph"/>
        <w:spacing w:line="240" w:lineRule="auto"/>
        <w:ind w:left="1080"/>
        <w:jc w:val="both"/>
        <w:rPr>
          <w:rFonts w:eastAsiaTheme="minorEastAsia"/>
        </w:rPr>
      </w:pPr>
      <w:r w:rsidRPr="4F203577">
        <w:rPr>
          <w:rFonts w:ascii="Calibri" w:eastAsia="Calibri" w:hAnsi="Calibri" w:cs="Calibri"/>
          <w:u w:val="single"/>
        </w:rPr>
        <w:t>Client Support</w:t>
      </w:r>
    </w:p>
    <w:p w14:paraId="2A19D14A" w14:textId="77777777" w:rsidR="00D87A8E" w:rsidRPr="00DE5AD8" w:rsidRDefault="00D87A8E" w:rsidP="00D87A8E">
      <w:pPr>
        <w:tabs>
          <w:tab w:val="left" w:pos="1350"/>
        </w:tabs>
        <w:spacing w:after="0" w:line="240" w:lineRule="auto"/>
        <w:ind w:left="1440" w:hanging="360"/>
        <w:jc w:val="both"/>
        <w:rPr>
          <w:rFonts w:eastAsiaTheme="minorEastAsia"/>
        </w:rPr>
      </w:pPr>
      <w:r>
        <w:rPr>
          <w:rFonts w:ascii="Calibri" w:eastAsia="Calibri" w:hAnsi="Calibri" w:cs="Calibri"/>
        </w:rPr>
        <w:t xml:space="preserve">(1)   </w:t>
      </w:r>
      <w:r w:rsidRPr="00DE5AD8">
        <w:rPr>
          <w:rFonts w:ascii="Calibri" w:eastAsia="Calibri" w:hAnsi="Calibri" w:cs="Calibri"/>
        </w:rPr>
        <w:t>Provide training for all users upon request;</w:t>
      </w:r>
    </w:p>
    <w:p w14:paraId="3B7EC54C" w14:textId="39A9E369" w:rsidR="00D87A8E" w:rsidRDefault="00D87A8E" w:rsidP="00D87A8E">
      <w:pPr>
        <w:pStyle w:val="ListParagraph"/>
        <w:numPr>
          <w:ilvl w:val="3"/>
          <w:numId w:val="5"/>
        </w:numPr>
        <w:spacing w:after="0" w:line="240" w:lineRule="auto"/>
        <w:ind w:left="1440"/>
        <w:jc w:val="both"/>
      </w:pPr>
      <w:r w:rsidRPr="4F203577">
        <w:rPr>
          <w:rFonts w:ascii="Calibri" w:eastAsia="Calibri" w:hAnsi="Calibri" w:cs="Calibri"/>
        </w:rPr>
        <w:t>Provide technical support for query assistance, data navigation, and report creation</w:t>
      </w:r>
      <w:r>
        <w:rPr>
          <w:rFonts w:ascii="Calibri" w:eastAsia="Calibri" w:hAnsi="Calibri" w:cs="Calibri"/>
        </w:rPr>
        <w:t>.</w:t>
      </w:r>
      <w:r>
        <w:br/>
      </w:r>
    </w:p>
    <w:p w14:paraId="70718286" w14:textId="77777777" w:rsidR="00AF52BE" w:rsidRPr="00AF52BE" w:rsidRDefault="00AF52BE" w:rsidP="00AF52BE">
      <w:pPr>
        <w:spacing w:line="240" w:lineRule="auto"/>
        <w:ind w:firstLine="360"/>
        <w:jc w:val="both"/>
        <w:rPr>
          <w:b/>
          <w:bCs/>
        </w:rPr>
      </w:pPr>
      <w:r w:rsidRPr="00AF52BE">
        <w:rPr>
          <w:b/>
          <w:bCs/>
        </w:rPr>
        <w:t>Confirmed.</w:t>
      </w:r>
    </w:p>
    <w:p w14:paraId="4585FDC6" w14:textId="77777777" w:rsidR="00AF52BE" w:rsidRDefault="00AF52BE" w:rsidP="00AF52BE">
      <w:pPr>
        <w:spacing w:after="0" w:line="240" w:lineRule="auto"/>
        <w:ind w:left="720"/>
        <w:jc w:val="both"/>
      </w:pPr>
    </w:p>
    <w:p w14:paraId="0963BE0B" w14:textId="77777777" w:rsidR="00D87A8E" w:rsidRDefault="00D87A8E" w:rsidP="00D87A8E">
      <w:pPr>
        <w:pStyle w:val="ListParagraph"/>
        <w:spacing w:line="240" w:lineRule="auto"/>
        <w:ind w:left="1440"/>
        <w:jc w:val="both"/>
        <w:rPr>
          <w:rFonts w:eastAsiaTheme="minorEastAsia"/>
        </w:rPr>
      </w:pPr>
    </w:p>
    <w:p w14:paraId="527E5FC5" w14:textId="77777777" w:rsidR="00D87A8E" w:rsidRPr="006A3504" w:rsidRDefault="00D87A8E" w:rsidP="00D87A8E">
      <w:pPr>
        <w:pStyle w:val="ListParagraph"/>
        <w:numPr>
          <w:ilvl w:val="0"/>
          <w:numId w:val="3"/>
        </w:numPr>
        <w:spacing w:after="0" w:line="240" w:lineRule="auto"/>
        <w:jc w:val="both"/>
        <w:rPr>
          <w:rFonts w:eastAsia="Times New Roman" w:cstheme="minorHAnsi"/>
          <w:b/>
        </w:rPr>
      </w:pPr>
      <w:r w:rsidRPr="006A3504">
        <w:rPr>
          <w:rFonts w:eastAsia="Times New Roman" w:cstheme="minorHAnsi"/>
          <w:b/>
        </w:rPr>
        <w:t>Consideration</w:t>
      </w:r>
    </w:p>
    <w:p w14:paraId="552CF61C" w14:textId="6653112C" w:rsidR="00D87A8E" w:rsidRPr="006A3504" w:rsidRDefault="00D87A8E" w:rsidP="00D87A8E">
      <w:pPr>
        <w:pStyle w:val="ListParagraph"/>
        <w:numPr>
          <w:ilvl w:val="0"/>
          <w:numId w:val="6"/>
        </w:numPr>
        <w:spacing w:line="240" w:lineRule="auto"/>
        <w:jc w:val="both"/>
        <w:rPr>
          <w:rFonts w:cstheme="minorHAnsi"/>
        </w:rPr>
      </w:pPr>
      <w:r w:rsidRPr="006A3504">
        <w:rPr>
          <w:rFonts w:cstheme="minorHAnsi"/>
        </w:rPr>
        <w:t xml:space="preserve">The one-time implementation fee is </w:t>
      </w:r>
      <w:r w:rsidR="00AF52BE">
        <w:rPr>
          <w:rFonts w:cstheme="minorHAnsi"/>
        </w:rPr>
        <w:t>$</w:t>
      </w:r>
      <w:r w:rsidR="00AF52BE">
        <w:rPr>
          <w:rFonts w:cstheme="minorHAnsi"/>
          <w:u w:val="single"/>
        </w:rPr>
        <w:t xml:space="preserve"> </w:t>
      </w:r>
      <w:r w:rsidR="00AF52BE" w:rsidRPr="00843986">
        <w:rPr>
          <w:rFonts w:cstheme="minorHAnsi"/>
          <w:b/>
          <w:bCs/>
          <w:u w:val="single"/>
        </w:rPr>
        <w:t>No Additional fees will be charged for implementation</w:t>
      </w:r>
      <w:r w:rsidRPr="006A3504">
        <w:rPr>
          <w:rFonts w:cstheme="minorHAnsi"/>
        </w:rPr>
        <w:t>.</w:t>
      </w:r>
    </w:p>
    <w:p w14:paraId="38EA7F71" w14:textId="1BC6C27E" w:rsidR="00D87A8E" w:rsidRPr="006A3504" w:rsidRDefault="00D87A8E" w:rsidP="00D87A8E">
      <w:pPr>
        <w:pStyle w:val="ListParagraph"/>
        <w:numPr>
          <w:ilvl w:val="0"/>
          <w:numId w:val="6"/>
        </w:numPr>
        <w:spacing w:line="240" w:lineRule="auto"/>
        <w:jc w:val="both"/>
        <w:rPr>
          <w:rFonts w:cstheme="minorHAnsi"/>
        </w:rPr>
      </w:pPr>
      <w:r w:rsidRPr="006A3504">
        <w:rPr>
          <w:rFonts w:cstheme="minorHAnsi"/>
        </w:rPr>
        <w:t>The all-inclusive monthly management fee is $</w:t>
      </w:r>
      <w:r w:rsidR="00AF52BE">
        <w:rPr>
          <w:rFonts w:cstheme="minorHAnsi"/>
          <w:u w:val="single"/>
        </w:rPr>
        <w:t xml:space="preserve"> </w:t>
      </w:r>
      <w:r w:rsidR="00AF52BE" w:rsidRPr="00843986">
        <w:rPr>
          <w:rFonts w:cstheme="minorHAnsi"/>
          <w:b/>
          <w:bCs/>
          <w:u w:val="single"/>
        </w:rPr>
        <w:t>The charge for IBM/Truven’s data warehouse capabilities is included within Anthem’s medical ASO fee</w:t>
      </w:r>
      <w:r w:rsidRPr="006A3504">
        <w:rPr>
          <w:rFonts w:cstheme="minorHAnsi"/>
        </w:rPr>
        <w:t>.</w:t>
      </w:r>
    </w:p>
    <w:p w14:paraId="1727E1C7" w14:textId="77777777" w:rsidR="00D87A8E" w:rsidRDefault="00D87A8E" w:rsidP="00D87A8E">
      <w:pPr>
        <w:pStyle w:val="ListParagraph"/>
        <w:spacing w:line="240" w:lineRule="auto"/>
        <w:ind w:left="1440"/>
        <w:jc w:val="both"/>
        <w:rPr>
          <w:rFonts w:ascii="Calibri" w:eastAsia="Calibri" w:hAnsi="Calibri" w:cs="Calibri"/>
        </w:rPr>
      </w:pPr>
      <w:r w:rsidRPr="4F203577">
        <w:rPr>
          <w:rFonts w:ascii="Calibri" w:eastAsia="Calibri" w:hAnsi="Calibri" w:cs="Calibri"/>
        </w:rPr>
        <w:t>The all-inclusive monthly management fee is compensation for all items listed or referenced as Contractor duties including (but not limited to): loading data feeds, implementing new data feeds as needed, providing training, developing reports, providing technical support to the State, and validating data.</w:t>
      </w:r>
    </w:p>
    <w:p w14:paraId="700D4CF5" w14:textId="77777777" w:rsidR="00D87A8E" w:rsidRPr="006A3504" w:rsidRDefault="00D87A8E" w:rsidP="00D87A8E">
      <w:pPr>
        <w:pStyle w:val="ListParagraph"/>
        <w:numPr>
          <w:ilvl w:val="0"/>
          <w:numId w:val="6"/>
        </w:numPr>
        <w:spacing w:line="240" w:lineRule="auto"/>
        <w:jc w:val="both"/>
        <w:rPr>
          <w:rFonts w:eastAsiaTheme="minorEastAsia"/>
        </w:rPr>
      </w:pPr>
      <w:r w:rsidRPr="006A3504">
        <w:rPr>
          <w:rFonts w:ascii="Calibri" w:eastAsia="Calibri" w:hAnsi="Calibri" w:cs="Calibri"/>
        </w:rPr>
        <w:t xml:space="preserve">The charges contained in this section are the complete and exclusive list of all charges by type and amount to be made under this Contract.  </w:t>
      </w:r>
    </w:p>
    <w:p w14:paraId="494E3FA6" w14:textId="77777777" w:rsidR="00D87A8E" w:rsidRDefault="00D87A8E" w:rsidP="00D87A8E">
      <w:pPr>
        <w:spacing w:line="240" w:lineRule="auto"/>
        <w:jc w:val="both"/>
      </w:pPr>
    </w:p>
    <w:p w14:paraId="59ECABD4" w14:textId="77777777" w:rsidR="00D87A8E" w:rsidRPr="00FE7556" w:rsidRDefault="00D87A8E" w:rsidP="00D87A8E">
      <w:pPr>
        <w:spacing w:after="0" w:line="240" w:lineRule="auto"/>
        <w:ind w:left="720" w:hanging="360"/>
        <w:jc w:val="both"/>
        <w:outlineLvl w:val="0"/>
        <w:rPr>
          <w:rFonts w:cstheme="minorHAnsi"/>
        </w:rPr>
      </w:pPr>
    </w:p>
    <w:p w14:paraId="1DABFAB0" w14:textId="77777777" w:rsidR="005A5BA0" w:rsidRDefault="00726690"/>
    <w:sectPr w:rsidR="005A5BA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1AF43" w14:textId="77777777" w:rsidR="002A1059" w:rsidRDefault="002A1059">
      <w:pPr>
        <w:spacing w:after="0" w:line="240" w:lineRule="auto"/>
      </w:pPr>
      <w:r>
        <w:separator/>
      </w:r>
    </w:p>
  </w:endnote>
  <w:endnote w:type="continuationSeparator" w:id="0">
    <w:p w14:paraId="27032635" w14:textId="77777777" w:rsidR="002A1059" w:rsidRDefault="002A1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6788CCC3" w14:textId="77777777" w:rsidR="00174BDC" w:rsidRDefault="00D87A8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9335E" w14:textId="77777777" w:rsidR="002A1059" w:rsidRDefault="002A1059">
      <w:pPr>
        <w:spacing w:after="0" w:line="240" w:lineRule="auto"/>
      </w:pPr>
      <w:r>
        <w:separator/>
      </w:r>
    </w:p>
  </w:footnote>
  <w:footnote w:type="continuationSeparator" w:id="0">
    <w:p w14:paraId="7ED13404" w14:textId="77777777" w:rsidR="002A1059" w:rsidRDefault="002A10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1F54C9"/>
    <w:multiLevelType w:val="hybridMultilevel"/>
    <w:tmpl w:val="23783828"/>
    <w:lvl w:ilvl="0" w:tplc="612EB58E">
      <w:start w:val="1"/>
      <w:numFmt w:val="upperLetter"/>
      <w:lvlText w:val="%1."/>
      <w:lvlJc w:val="left"/>
      <w:pPr>
        <w:ind w:left="108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1080" w:hanging="360"/>
      </w:pPr>
    </w:lvl>
    <w:lvl w:ilvl="7" w:tplc="04090019" w:tentative="1">
      <w:start w:val="1"/>
      <w:numFmt w:val="lowerLetter"/>
      <w:lvlText w:val="%8."/>
      <w:lvlJc w:val="left"/>
      <w:pPr>
        <w:ind w:left="1800" w:hanging="360"/>
      </w:pPr>
    </w:lvl>
    <w:lvl w:ilvl="8" w:tplc="0409001B" w:tentative="1">
      <w:start w:val="1"/>
      <w:numFmt w:val="lowerRoman"/>
      <w:lvlText w:val="%9."/>
      <w:lvlJc w:val="right"/>
      <w:pPr>
        <w:ind w:left="2520" w:hanging="180"/>
      </w:pPr>
    </w:lvl>
  </w:abstractNum>
  <w:abstractNum w:abstractNumId="1" w15:restartNumberingAfterBreak="0">
    <w:nsid w:val="3F130775"/>
    <w:multiLevelType w:val="hybridMultilevel"/>
    <w:tmpl w:val="8A789964"/>
    <w:lvl w:ilvl="0" w:tplc="C686A6EE">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D1C2E"/>
    <w:multiLevelType w:val="hybridMultilevel"/>
    <w:tmpl w:val="F83A58B8"/>
    <w:lvl w:ilvl="0" w:tplc="7CB80A50">
      <w:start w:val="1"/>
      <w:numFmt w:val="upperLetter"/>
      <w:lvlText w:val="(%1)"/>
      <w:lvlJc w:val="left"/>
      <w:pPr>
        <w:ind w:left="2880" w:hanging="360"/>
      </w:pPr>
      <w:rPr>
        <w:rFonts w:asciiTheme="minorHAnsi" w:eastAsiaTheme="minorHAnsi" w:hAnsiTheme="minorHAnsi" w:cstheme="minorBidi"/>
      </w:rPr>
    </w:lvl>
    <w:lvl w:ilvl="1" w:tplc="A262FD18">
      <w:start w:val="1"/>
      <w:numFmt w:val="upperLetter"/>
      <w:lvlText w:val="(%2)"/>
      <w:lvlJc w:val="left"/>
      <w:pPr>
        <w:ind w:left="3600" w:hanging="360"/>
      </w:pPr>
      <w:rPr>
        <w:rFonts w:hint="default"/>
        <w:strike w:val="0"/>
      </w:rPr>
    </w:lvl>
    <w:lvl w:ilvl="2" w:tplc="D3783D98">
      <w:start w:val="1"/>
      <w:numFmt w:val="lowerRoman"/>
      <w:lvlText w:val="(%3)"/>
      <w:lvlJc w:val="left"/>
      <w:pPr>
        <w:ind w:left="4860" w:hanging="720"/>
      </w:pPr>
      <w:rPr>
        <w:rFonts w:hint="default"/>
      </w:rPr>
    </w:lvl>
    <w:lvl w:ilvl="3" w:tplc="EE7CCF80">
      <w:start w:val="1"/>
      <w:numFmt w:val="decimal"/>
      <w:lvlText w:val="(%4)"/>
      <w:lvlJc w:val="left"/>
      <w:pPr>
        <w:ind w:left="5040" w:hanging="360"/>
      </w:pPr>
      <w:rPr>
        <w:rFonts w:ascii="Calibri" w:eastAsia="Calibri" w:hAnsi="Calibri" w:cs="Calibri" w:hint="default"/>
      </w:r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47624D41"/>
    <w:multiLevelType w:val="hybridMultilevel"/>
    <w:tmpl w:val="FBAA5648"/>
    <w:lvl w:ilvl="0" w:tplc="54860CB8">
      <w:start w:val="1"/>
      <w:numFmt w:val="decimal"/>
      <w:lvlText w:val="(%1)"/>
      <w:lvlJc w:val="left"/>
      <w:pPr>
        <w:ind w:left="1440" w:hanging="360"/>
      </w:pPr>
      <w:rPr>
        <w:rFonts w:asciiTheme="minorHAnsi" w:eastAsia="Times New Roman" w:hAnsiTheme="minorHAnsi" w:cstheme="minorHAnsi" w:hint="default"/>
      </w:rPr>
    </w:lvl>
    <w:lvl w:ilvl="1" w:tplc="5EA0B496">
      <w:start w:val="1"/>
      <w:numFmt w:val="decimal"/>
      <w:lvlText w:val="(%2)"/>
      <w:lvlJc w:val="left"/>
      <w:pPr>
        <w:ind w:left="1440" w:hanging="360"/>
      </w:pPr>
    </w:lvl>
    <w:lvl w:ilvl="2" w:tplc="0409001B">
      <w:start w:val="1"/>
      <w:numFmt w:val="lowerRoman"/>
      <w:lvlText w:val="%3."/>
      <w:lvlJc w:val="right"/>
      <w:pPr>
        <w:ind w:left="2160" w:hanging="180"/>
      </w:pPr>
    </w:lvl>
    <w:lvl w:ilvl="3" w:tplc="908CE670">
      <w:start w:val="1"/>
      <w:numFmt w:val="decimal"/>
      <w:lvlText w:val="(%4)"/>
      <w:lvlJc w:val="left"/>
      <w:pPr>
        <w:ind w:left="2880" w:hanging="360"/>
      </w:pPr>
      <w:rPr>
        <w:rFonts w:ascii="Calibri" w:eastAsia="Calibr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F82E92"/>
    <w:multiLevelType w:val="hybridMultilevel"/>
    <w:tmpl w:val="1DDE3E6A"/>
    <w:lvl w:ilvl="0" w:tplc="5EA0B496">
      <w:start w:val="1"/>
      <w:numFmt w:val="decimal"/>
      <w:lvlText w:val="(%1)"/>
      <w:lvlJc w:val="left"/>
      <w:pPr>
        <w:ind w:left="2880" w:hanging="360"/>
      </w:pPr>
    </w:lvl>
    <w:lvl w:ilvl="1" w:tplc="A262FD18">
      <w:start w:val="1"/>
      <w:numFmt w:val="upperLetter"/>
      <w:lvlText w:val="(%2)"/>
      <w:lvlJc w:val="left"/>
      <w:pPr>
        <w:ind w:left="3600" w:hanging="360"/>
      </w:pPr>
      <w:rPr>
        <w:rFonts w:hint="default"/>
        <w:strike w:val="0"/>
      </w:rPr>
    </w:lvl>
    <w:lvl w:ilvl="2" w:tplc="D3783D98">
      <w:start w:val="1"/>
      <w:numFmt w:val="lowerRoman"/>
      <w:lvlText w:val="(%3)"/>
      <w:lvlJc w:val="left"/>
      <w:pPr>
        <w:ind w:left="4860" w:hanging="720"/>
      </w:pPr>
      <w:rPr>
        <w:rFonts w:hint="default"/>
      </w:rPr>
    </w:lvl>
    <w:lvl w:ilvl="3" w:tplc="612EB58E">
      <w:start w:val="1"/>
      <w:numFmt w:val="upperLetter"/>
      <w:lvlText w:val="%4."/>
      <w:lvlJc w:val="left"/>
      <w:pPr>
        <w:ind w:left="5040" w:hanging="360"/>
      </w:pPr>
      <w:rPr>
        <w:rFonts w:hint="default"/>
      </w:rPr>
    </w:lvl>
    <w:lvl w:ilvl="4" w:tplc="C0EA86D6">
      <w:start w:val="1"/>
      <w:numFmt w:val="decimal"/>
      <w:lvlText w:val="(%5)"/>
      <w:lvlJc w:val="left"/>
      <w:pPr>
        <w:ind w:left="5760" w:hanging="360"/>
      </w:pPr>
      <w:rPr>
        <w:rFonts w:ascii="Calibri" w:eastAsia="Calibri" w:hAnsi="Calibri" w:cs="Calibri" w:hint="default"/>
      </w:r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523F72FA"/>
    <w:multiLevelType w:val="hybridMultilevel"/>
    <w:tmpl w:val="79EE46D4"/>
    <w:lvl w:ilvl="0" w:tplc="A262FD18">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34656"/>
    <w:multiLevelType w:val="hybridMultilevel"/>
    <w:tmpl w:val="225688AE"/>
    <w:lvl w:ilvl="0" w:tplc="5CEA0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0E717E"/>
    <w:multiLevelType w:val="hybridMultilevel"/>
    <w:tmpl w:val="F0883930"/>
    <w:lvl w:ilvl="0" w:tplc="5EA0B49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B86369"/>
    <w:multiLevelType w:val="hybridMultilevel"/>
    <w:tmpl w:val="23783828"/>
    <w:lvl w:ilvl="0" w:tplc="612EB58E">
      <w:start w:val="1"/>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8"/>
  </w:num>
  <w:num w:numId="5">
    <w:abstractNumId w:val="3"/>
  </w:num>
  <w:num w:numId="6">
    <w:abstractNumId w:val="0"/>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A8E"/>
    <w:rsid w:val="001549E5"/>
    <w:rsid w:val="002A1059"/>
    <w:rsid w:val="003E1FDE"/>
    <w:rsid w:val="00726690"/>
    <w:rsid w:val="007A324D"/>
    <w:rsid w:val="00843986"/>
    <w:rsid w:val="00871ACB"/>
    <w:rsid w:val="00A5006E"/>
    <w:rsid w:val="00AF52BE"/>
    <w:rsid w:val="00C02A2C"/>
    <w:rsid w:val="00C80E44"/>
    <w:rsid w:val="00D87A8E"/>
    <w:rsid w:val="00F72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A4074"/>
  <w15:chartTrackingRefBased/>
  <w15:docId w15:val="{10BB32EC-0A5B-43F6-BDFC-D644EAF43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A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87A8E"/>
    <w:pPr>
      <w:tabs>
        <w:tab w:val="center" w:pos="4680"/>
        <w:tab w:val="right" w:pos="9360"/>
      </w:tabs>
      <w:spacing w:after="0" w:line="240" w:lineRule="auto"/>
    </w:pPr>
  </w:style>
  <w:style w:type="character" w:customStyle="1" w:styleId="FooterChar">
    <w:name w:val="Footer Char"/>
    <w:basedOn w:val="DefaultParagraphFont"/>
    <w:link w:val="Footer"/>
    <w:rsid w:val="00D87A8E"/>
  </w:style>
  <w:style w:type="paragraph" w:styleId="ListParagraph">
    <w:name w:val="List Paragraph"/>
    <w:basedOn w:val="Normal"/>
    <w:uiPriority w:val="99"/>
    <w:qFormat/>
    <w:rsid w:val="00D87A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E5352289500A4F9CF41CE6C5301690" ma:contentTypeVersion="8" ma:contentTypeDescription="Create a new document." ma:contentTypeScope="" ma:versionID="211717603d23b1165715f7edea13dc17">
  <xsd:schema xmlns:xsd="http://www.w3.org/2001/XMLSchema" xmlns:xs="http://www.w3.org/2001/XMLSchema" xmlns:p="http://schemas.microsoft.com/office/2006/metadata/properties" xmlns:ns3="42f12ea2-0d73-464b-aee6-8a15fd8efd86" targetNamespace="http://schemas.microsoft.com/office/2006/metadata/properties" ma:root="true" ma:fieldsID="4f84e41648f5480465fea1f966f827fa" ns3:_="">
    <xsd:import namespace="42f12ea2-0d73-464b-aee6-8a15fd8efd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f12ea2-0d73-464b-aee6-8a15fd8efd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219962-AFED-487E-B81B-7E4CCF20DE88}">
  <ds:schemaRefs>
    <ds:schemaRef ds:uri="http://schemas.microsoft.com/sharepoint/v3/contenttype/forms"/>
  </ds:schemaRefs>
</ds:datastoreItem>
</file>

<file path=customXml/itemProps2.xml><?xml version="1.0" encoding="utf-8"?>
<ds:datastoreItem xmlns:ds="http://schemas.openxmlformats.org/officeDocument/2006/customXml" ds:itemID="{4EC8ADF8-2D05-41E3-821E-C88CB10F2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f12ea2-0d73-464b-aee6-8a15fd8efd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0D8F3F-40FE-4A9F-962D-A692CD6DD1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895</Words>
  <Characters>5107</Characters>
  <Application>Microsoft Office Word</Application>
  <DocSecurity>0</DocSecurity>
  <Lines>42</Lines>
  <Paragraphs>11</Paragraphs>
  <ScaleCrop>false</ScaleCrop>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Tittle, Christy</dc:creator>
  <cp:keywords/>
  <dc:description/>
  <cp:lastModifiedBy>Davidson, Traci</cp:lastModifiedBy>
  <cp:revision>2</cp:revision>
  <dcterms:created xsi:type="dcterms:W3CDTF">2021-03-10T20:04:00Z</dcterms:created>
  <dcterms:modified xsi:type="dcterms:W3CDTF">2021-03-10T20:04:00Z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0x010100ACE5352289500A4F9CF41CE6C5301690</vt:lpwstr>
  </property>
</Properties>
</file>